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5BBC" w14:textId="01BB2F11" w:rsidR="006762FC" w:rsidRDefault="006762FC" w:rsidP="006762FC">
      <w:pPr>
        <w:spacing w:line="240" w:lineRule="auto"/>
        <w:jc w:val="both"/>
        <w:rPr>
          <w:rFonts w:ascii="Calibri" w:hAnsi="Calibri"/>
          <w:b/>
          <w:color w:val="000000" w:themeColor="text1"/>
          <w:sz w:val="32"/>
        </w:rPr>
      </w:pPr>
      <w:r>
        <w:rPr>
          <w:rFonts w:ascii="Calibri" w:hAnsi="Calibri"/>
          <w:b/>
          <w:noProof/>
          <w:color w:val="000000" w:themeColor="text1"/>
          <w:sz w:val="32"/>
          <w14:ligatures w14:val="standardContextual"/>
        </w:rPr>
        <w:drawing>
          <wp:inline distT="0" distB="0" distL="0" distR="0" wp14:anchorId="050944B8" wp14:editId="3A9C0B27">
            <wp:extent cx="5760720" cy="2221865"/>
            <wp:effectExtent l="0" t="0" r="5080" b="635"/>
            <wp:docPr id="122458099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8099" name="Image 1" descr="Une image contenant texte, capture d’écran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9"/>
                    <a:stretch/>
                  </pic:blipFill>
                  <pic:spPr bwMode="auto">
                    <a:xfrm>
                      <a:off x="0" y="0"/>
                      <a:ext cx="5760720" cy="222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B06F4" w14:textId="77777777" w:rsidR="00890207" w:rsidRPr="006E7317" w:rsidRDefault="00890207" w:rsidP="00890207">
      <w:pPr>
        <w:spacing w:line="240" w:lineRule="auto"/>
        <w:jc w:val="center"/>
        <w:rPr>
          <w:rFonts w:ascii="Calibri" w:hAnsi="Calibri"/>
          <w:b/>
          <w:color w:val="000000" w:themeColor="text1"/>
          <w:sz w:val="48"/>
          <w:szCs w:val="36"/>
        </w:rPr>
      </w:pPr>
      <w:r w:rsidRPr="006E7317">
        <w:rPr>
          <w:rFonts w:ascii="Calibri" w:hAnsi="Calibri"/>
          <w:b/>
          <w:color w:val="000000" w:themeColor="text1"/>
          <w:sz w:val="48"/>
          <w:szCs w:val="36"/>
        </w:rPr>
        <w:t>Appel à projets NEURO MAV France</w:t>
      </w:r>
    </w:p>
    <w:p w14:paraId="63D680A7" w14:textId="77777777" w:rsidR="00890207" w:rsidRPr="006E7317" w:rsidRDefault="00890207" w:rsidP="00890207">
      <w:pPr>
        <w:spacing w:line="240" w:lineRule="auto"/>
        <w:jc w:val="center"/>
        <w:rPr>
          <w:rFonts w:ascii="Calibri" w:hAnsi="Calibri"/>
          <w:b/>
          <w:color w:val="000000" w:themeColor="text1"/>
          <w:sz w:val="36"/>
          <w:szCs w:val="24"/>
        </w:rPr>
      </w:pPr>
      <w:r w:rsidRPr="006E7317">
        <w:rPr>
          <w:rFonts w:ascii="Calibri" w:hAnsi="Calibri"/>
          <w:b/>
          <w:color w:val="000000" w:themeColor="text1"/>
          <w:sz w:val="36"/>
          <w:szCs w:val="24"/>
        </w:rPr>
        <w:t>« Innovations et recherche dans les malformations artérioveineuses du système nerveux central »</w:t>
      </w:r>
    </w:p>
    <w:p w14:paraId="3712617B" w14:textId="68FEF87A" w:rsidR="00890207" w:rsidRPr="000B72E9" w:rsidRDefault="00890207" w:rsidP="00890207">
      <w:pPr>
        <w:spacing w:line="240" w:lineRule="auto"/>
        <w:jc w:val="center"/>
        <w:rPr>
          <w:rFonts w:ascii="Calibri" w:hAnsi="Calibri"/>
          <w:color w:val="000000" w:themeColor="text1"/>
          <w:sz w:val="32"/>
        </w:rPr>
      </w:pPr>
      <w:r>
        <w:rPr>
          <w:rFonts w:ascii="Calibri" w:hAnsi="Calibri"/>
          <w:color w:val="000000" w:themeColor="text1"/>
          <w:sz w:val="32"/>
        </w:rPr>
        <w:t>Règlement 2025</w:t>
      </w:r>
    </w:p>
    <w:p w14:paraId="223E3A3D" w14:textId="77777777" w:rsidR="00F966C6" w:rsidRPr="006762FC" w:rsidRDefault="00F966C6" w:rsidP="006762FC">
      <w:pPr>
        <w:spacing w:line="240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14:paraId="44B1F5DA" w14:textId="5F42D17E" w:rsidR="009D77F8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L’association </w:t>
      </w:r>
      <w:r w:rsidR="002D313D">
        <w:rPr>
          <w:sz w:val="24"/>
          <w:szCs w:val="24"/>
        </w:rPr>
        <w:t>NEURO</w:t>
      </w:r>
      <w:r w:rsidRPr="006762FC">
        <w:rPr>
          <w:sz w:val="24"/>
          <w:szCs w:val="24"/>
        </w:rPr>
        <w:t xml:space="preserve"> MAV France lance</w:t>
      </w:r>
      <w:r w:rsidR="009D77F8" w:rsidRPr="006762FC">
        <w:rPr>
          <w:sz w:val="24"/>
          <w:szCs w:val="24"/>
        </w:rPr>
        <w:t xml:space="preserve"> cette année</w:t>
      </w:r>
      <w:r w:rsidRPr="006762FC">
        <w:rPr>
          <w:sz w:val="24"/>
          <w:szCs w:val="24"/>
        </w:rPr>
        <w:t xml:space="preserve"> son premier appel à projets (AAP)</w:t>
      </w:r>
      <w:r w:rsidR="00890207">
        <w:rPr>
          <w:sz w:val="24"/>
          <w:szCs w:val="24"/>
        </w:rPr>
        <w:t xml:space="preserve"> « </w:t>
      </w:r>
      <w:r w:rsidRPr="006762FC">
        <w:rPr>
          <w:sz w:val="24"/>
          <w:szCs w:val="24"/>
        </w:rPr>
        <w:t xml:space="preserve">Innovations et recherche dans les malformations artérioveineuses du système nerveux </w:t>
      </w:r>
      <w:r w:rsidR="00002D86" w:rsidRPr="006762FC">
        <w:rPr>
          <w:sz w:val="24"/>
          <w:szCs w:val="24"/>
        </w:rPr>
        <w:t>central</w:t>
      </w:r>
      <w:r w:rsidR="00890207">
        <w:rPr>
          <w:sz w:val="24"/>
          <w:szCs w:val="24"/>
        </w:rPr>
        <w:t> »</w:t>
      </w:r>
      <w:r w:rsidR="009D77F8" w:rsidRPr="006762FC">
        <w:rPr>
          <w:sz w:val="24"/>
          <w:szCs w:val="24"/>
        </w:rPr>
        <w:t xml:space="preserve">. </w:t>
      </w:r>
      <w:r w:rsidRPr="006762FC">
        <w:rPr>
          <w:sz w:val="24"/>
          <w:szCs w:val="24"/>
        </w:rPr>
        <w:t xml:space="preserve">La date </w:t>
      </w:r>
      <w:r w:rsidR="009D77F8" w:rsidRPr="006762FC">
        <w:rPr>
          <w:sz w:val="24"/>
          <w:szCs w:val="24"/>
        </w:rPr>
        <w:t>limite</w:t>
      </w:r>
      <w:r w:rsidRPr="006762FC">
        <w:rPr>
          <w:sz w:val="24"/>
          <w:szCs w:val="24"/>
        </w:rPr>
        <w:t xml:space="preserve"> </w:t>
      </w:r>
      <w:r w:rsidR="009D77F8" w:rsidRPr="006762FC">
        <w:rPr>
          <w:sz w:val="24"/>
          <w:szCs w:val="24"/>
        </w:rPr>
        <w:t>de soumission des</w:t>
      </w:r>
      <w:r w:rsidRPr="006762FC">
        <w:rPr>
          <w:sz w:val="24"/>
          <w:szCs w:val="24"/>
        </w:rPr>
        <w:t xml:space="preserve"> projets est </w:t>
      </w:r>
      <w:r w:rsidRPr="006762FC">
        <w:rPr>
          <w:b/>
          <w:bCs/>
          <w:sz w:val="24"/>
          <w:szCs w:val="24"/>
        </w:rPr>
        <w:t>le</w:t>
      </w:r>
      <w:r w:rsidR="00DE52AE" w:rsidRPr="006762FC">
        <w:rPr>
          <w:b/>
          <w:bCs/>
          <w:sz w:val="24"/>
          <w:szCs w:val="24"/>
        </w:rPr>
        <w:t xml:space="preserve"> </w:t>
      </w:r>
      <w:r w:rsidR="00803FB9" w:rsidRPr="006762FC">
        <w:rPr>
          <w:b/>
          <w:bCs/>
          <w:sz w:val="24"/>
          <w:szCs w:val="24"/>
        </w:rPr>
        <w:t>3</w:t>
      </w:r>
      <w:r w:rsidR="006762FC">
        <w:rPr>
          <w:b/>
          <w:bCs/>
          <w:sz w:val="24"/>
          <w:szCs w:val="24"/>
        </w:rPr>
        <w:t xml:space="preserve">1 mai </w:t>
      </w:r>
      <w:r w:rsidR="00DE52AE" w:rsidRPr="006762FC">
        <w:rPr>
          <w:b/>
          <w:bCs/>
          <w:sz w:val="24"/>
          <w:szCs w:val="24"/>
        </w:rPr>
        <w:t xml:space="preserve">2025 </w:t>
      </w:r>
      <w:r w:rsidRPr="006762FC">
        <w:rPr>
          <w:b/>
          <w:bCs/>
          <w:sz w:val="24"/>
          <w:szCs w:val="24"/>
        </w:rPr>
        <w:t xml:space="preserve">à </w:t>
      </w:r>
      <w:r w:rsidR="005D36E4" w:rsidRPr="006762FC">
        <w:rPr>
          <w:b/>
          <w:bCs/>
          <w:sz w:val="24"/>
          <w:szCs w:val="24"/>
        </w:rPr>
        <w:t>minuit</w:t>
      </w:r>
      <w:r w:rsidRPr="006762FC">
        <w:rPr>
          <w:b/>
          <w:bCs/>
          <w:sz w:val="24"/>
          <w:szCs w:val="24"/>
        </w:rPr>
        <w:t>.</w:t>
      </w:r>
      <w:r w:rsidRPr="006762FC">
        <w:rPr>
          <w:sz w:val="24"/>
          <w:szCs w:val="24"/>
        </w:rPr>
        <w:t xml:space="preserve"> </w:t>
      </w:r>
    </w:p>
    <w:p w14:paraId="572C8D3F" w14:textId="77777777" w:rsidR="009D77F8" w:rsidRPr="006762FC" w:rsidRDefault="009D77F8" w:rsidP="006762FC">
      <w:pPr>
        <w:spacing w:line="240" w:lineRule="auto"/>
        <w:jc w:val="both"/>
        <w:rPr>
          <w:b/>
          <w:bCs/>
          <w:sz w:val="24"/>
          <w:szCs w:val="24"/>
        </w:rPr>
      </w:pPr>
    </w:p>
    <w:p w14:paraId="497C91D0" w14:textId="2C72657A" w:rsidR="009D77F8" w:rsidRPr="006762FC" w:rsidRDefault="008B24ED" w:rsidP="006762F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6762FC">
        <w:rPr>
          <w:b/>
          <w:bCs/>
          <w:sz w:val="24"/>
          <w:szCs w:val="24"/>
        </w:rPr>
        <w:t>Cadre de l’appel à projet</w:t>
      </w:r>
      <w:r w:rsidR="007C6A11" w:rsidRPr="006762FC">
        <w:rPr>
          <w:b/>
          <w:bCs/>
          <w:sz w:val="24"/>
          <w:szCs w:val="24"/>
        </w:rPr>
        <w:t>s</w:t>
      </w:r>
    </w:p>
    <w:p w14:paraId="16506DBA" w14:textId="77777777" w:rsidR="002D313D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Le présent appel à projet</w:t>
      </w:r>
      <w:r w:rsidR="007C6A11" w:rsidRPr="006762FC">
        <w:rPr>
          <w:sz w:val="24"/>
          <w:szCs w:val="24"/>
        </w:rPr>
        <w:t>s</w:t>
      </w:r>
      <w:r w:rsidRPr="006762FC">
        <w:rPr>
          <w:sz w:val="24"/>
          <w:szCs w:val="24"/>
        </w:rPr>
        <w:t xml:space="preserve"> vise à financer </w:t>
      </w:r>
      <w:r w:rsidR="009D77F8" w:rsidRPr="006762FC">
        <w:rPr>
          <w:sz w:val="24"/>
          <w:szCs w:val="24"/>
        </w:rPr>
        <w:t>un projet</w:t>
      </w:r>
      <w:r w:rsidRPr="006762FC">
        <w:rPr>
          <w:sz w:val="24"/>
          <w:szCs w:val="24"/>
        </w:rPr>
        <w:t xml:space="preserve"> de recherche (fondamentale</w:t>
      </w:r>
      <w:r w:rsidR="00B87AEC" w:rsidRPr="006762FC">
        <w:rPr>
          <w:sz w:val="24"/>
          <w:szCs w:val="24"/>
        </w:rPr>
        <w:t>,</w:t>
      </w:r>
      <w:r w:rsidRPr="006762FC">
        <w:rPr>
          <w:sz w:val="24"/>
          <w:szCs w:val="24"/>
        </w:rPr>
        <w:t xml:space="preserve"> clinique) </w:t>
      </w:r>
      <w:r w:rsidR="00A60776" w:rsidRPr="006762FC">
        <w:rPr>
          <w:sz w:val="24"/>
          <w:szCs w:val="24"/>
        </w:rPr>
        <w:t>portant sur les</w:t>
      </w:r>
      <w:r w:rsidR="009D77F8" w:rsidRPr="006762FC">
        <w:rPr>
          <w:sz w:val="24"/>
          <w:szCs w:val="24"/>
        </w:rPr>
        <w:t xml:space="preserve"> malformations artérioveineuses </w:t>
      </w:r>
      <w:r w:rsidR="00C65F97" w:rsidRPr="006762FC">
        <w:rPr>
          <w:sz w:val="24"/>
          <w:szCs w:val="24"/>
        </w:rPr>
        <w:t>(</w:t>
      </w:r>
      <w:proofErr w:type="spellStart"/>
      <w:r w:rsidR="00C65F97" w:rsidRPr="006762FC">
        <w:rPr>
          <w:sz w:val="24"/>
          <w:szCs w:val="24"/>
        </w:rPr>
        <w:t>MAVs</w:t>
      </w:r>
      <w:proofErr w:type="spellEnd"/>
      <w:r w:rsidR="00C65F97" w:rsidRPr="006762FC">
        <w:rPr>
          <w:sz w:val="24"/>
          <w:szCs w:val="24"/>
        </w:rPr>
        <w:t xml:space="preserve">) </w:t>
      </w:r>
      <w:r w:rsidR="009D77F8" w:rsidRPr="006762FC">
        <w:rPr>
          <w:sz w:val="24"/>
          <w:szCs w:val="24"/>
        </w:rPr>
        <w:t>du cerveau ou de la mo</w:t>
      </w:r>
      <w:r w:rsidR="006762FC">
        <w:rPr>
          <w:sz w:val="24"/>
          <w:szCs w:val="24"/>
        </w:rPr>
        <w:t>ë</w:t>
      </w:r>
      <w:r w:rsidR="009D77F8" w:rsidRPr="006762FC">
        <w:rPr>
          <w:sz w:val="24"/>
          <w:szCs w:val="24"/>
        </w:rPr>
        <w:t>lle épinière</w:t>
      </w:r>
      <w:r w:rsidRPr="006762FC">
        <w:rPr>
          <w:sz w:val="24"/>
          <w:szCs w:val="24"/>
        </w:rPr>
        <w:t xml:space="preserve">. </w:t>
      </w:r>
    </w:p>
    <w:p w14:paraId="37481984" w14:textId="77777777" w:rsidR="002D313D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Il </w:t>
      </w:r>
      <w:r w:rsidR="009D77F8" w:rsidRPr="006762FC">
        <w:rPr>
          <w:sz w:val="24"/>
          <w:szCs w:val="24"/>
        </w:rPr>
        <w:t>a pour objectif de</w:t>
      </w:r>
      <w:r w:rsidRPr="006762FC">
        <w:rPr>
          <w:sz w:val="24"/>
          <w:szCs w:val="24"/>
        </w:rPr>
        <w:t xml:space="preserve"> soutenir et favoriser la mise en place de travaux </w:t>
      </w:r>
      <w:r w:rsidR="009D77F8" w:rsidRPr="006762FC">
        <w:rPr>
          <w:sz w:val="24"/>
          <w:szCs w:val="24"/>
        </w:rPr>
        <w:t>de rec</w:t>
      </w:r>
      <w:r w:rsidR="006C2DFD" w:rsidRPr="006762FC">
        <w:rPr>
          <w:sz w:val="24"/>
          <w:szCs w:val="24"/>
        </w:rPr>
        <w:t>herche innovants</w:t>
      </w:r>
      <w:r w:rsidRPr="006762FC">
        <w:rPr>
          <w:sz w:val="24"/>
          <w:szCs w:val="24"/>
        </w:rPr>
        <w:t xml:space="preserve"> sur ces pathologies. Les centres de référence</w:t>
      </w:r>
      <w:r w:rsidR="007C6A11" w:rsidRPr="006762FC">
        <w:rPr>
          <w:sz w:val="24"/>
          <w:szCs w:val="24"/>
        </w:rPr>
        <w:t xml:space="preserve"> (CRMR)</w:t>
      </w:r>
      <w:r w:rsidRPr="006762FC">
        <w:rPr>
          <w:sz w:val="24"/>
          <w:szCs w:val="24"/>
        </w:rPr>
        <w:t>, de compétences</w:t>
      </w:r>
      <w:r w:rsidR="007C6A11" w:rsidRPr="006762FC">
        <w:rPr>
          <w:sz w:val="24"/>
          <w:szCs w:val="24"/>
        </w:rPr>
        <w:t xml:space="preserve"> (CCMR)</w:t>
      </w:r>
      <w:r w:rsidRPr="006762FC">
        <w:rPr>
          <w:sz w:val="24"/>
          <w:szCs w:val="24"/>
        </w:rPr>
        <w:t xml:space="preserve">, et les laboratoires </w:t>
      </w:r>
      <w:r w:rsidR="006C2DFD" w:rsidRPr="006762FC">
        <w:rPr>
          <w:sz w:val="24"/>
          <w:szCs w:val="24"/>
        </w:rPr>
        <w:t xml:space="preserve">de recherche </w:t>
      </w:r>
      <w:r w:rsidRPr="006762FC">
        <w:rPr>
          <w:sz w:val="24"/>
          <w:szCs w:val="24"/>
        </w:rPr>
        <w:t xml:space="preserve">sont invités à répondre </w:t>
      </w:r>
      <w:r w:rsidR="008073D5" w:rsidRPr="006762FC">
        <w:rPr>
          <w:sz w:val="24"/>
          <w:szCs w:val="24"/>
        </w:rPr>
        <w:t>à cet appel à projets</w:t>
      </w:r>
      <w:r w:rsidRPr="006762FC">
        <w:rPr>
          <w:sz w:val="24"/>
          <w:szCs w:val="24"/>
        </w:rPr>
        <w:t xml:space="preserve">. </w:t>
      </w:r>
    </w:p>
    <w:p w14:paraId="5B865D31" w14:textId="268E2C59" w:rsidR="00317999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Les projets soumis devront avoir pour but </w:t>
      </w:r>
      <w:r w:rsidR="00317999" w:rsidRPr="006762FC">
        <w:rPr>
          <w:sz w:val="24"/>
          <w:szCs w:val="24"/>
        </w:rPr>
        <w:t>d’améliorer la compréhension de</w:t>
      </w:r>
      <w:r w:rsidR="00301F2F" w:rsidRPr="006762FC">
        <w:rPr>
          <w:sz w:val="24"/>
          <w:szCs w:val="24"/>
        </w:rPr>
        <w:t xml:space="preserve">s mécanismes physiopathologiques </w:t>
      </w:r>
      <w:r w:rsidR="00105FB0" w:rsidRPr="006762FC">
        <w:rPr>
          <w:sz w:val="24"/>
          <w:szCs w:val="24"/>
        </w:rPr>
        <w:t xml:space="preserve">des </w:t>
      </w:r>
      <w:proofErr w:type="spellStart"/>
      <w:r w:rsidR="00301F2F" w:rsidRPr="006762FC">
        <w:rPr>
          <w:sz w:val="24"/>
          <w:szCs w:val="24"/>
        </w:rPr>
        <w:t>MAVs</w:t>
      </w:r>
      <w:proofErr w:type="spellEnd"/>
      <w:r w:rsidR="00105FB0" w:rsidRPr="006762FC">
        <w:rPr>
          <w:sz w:val="24"/>
          <w:szCs w:val="24"/>
        </w:rPr>
        <w:t xml:space="preserve"> </w:t>
      </w:r>
      <w:r w:rsidR="00CC335E" w:rsidRPr="006762FC">
        <w:rPr>
          <w:sz w:val="24"/>
          <w:szCs w:val="24"/>
        </w:rPr>
        <w:t>(</w:t>
      </w:r>
      <w:r w:rsidR="00105FB0" w:rsidRPr="006762FC">
        <w:rPr>
          <w:sz w:val="24"/>
          <w:szCs w:val="24"/>
        </w:rPr>
        <w:t>et de leurs complications</w:t>
      </w:r>
      <w:r w:rsidR="00CC335E" w:rsidRPr="006762FC">
        <w:rPr>
          <w:sz w:val="24"/>
          <w:szCs w:val="24"/>
        </w:rPr>
        <w:t>)</w:t>
      </w:r>
      <w:r w:rsidR="00105FB0" w:rsidRPr="006762FC">
        <w:rPr>
          <w:sz w:val="24"/>
          <w:szCs w:val="24"/>
        </w:rPr>
        <w:t xml:space="preserve">, </w:t>
      </w:r>
      <w:r w:rsidR="00317999" w:rsidRPr="006762FC">
        <w:rPr>
          <w:sz w:val="24"/>
          <w:szCs w:val="24"/>
        </w:rPr>
        <w:t xml:space="preserve">leur diagnostic, </w:t>
      </w:r>
      <w:r w:rsidR="000B4F4A" w:rsidRPr="006762FC">
        <w:rPr>
          <w:sz w:val="24"/>
          <w:szCs w:val="24"/>
        </w:rPr>
        <w:t>la prévention des complications</w:t>
      </w:r>
      <w:r w:rsidR="00317999" w:rsidRPr="006762FC">
        <w:rPr>
          <w:sz w:val="24"/>
          <w:szCs w:val="24"/>
        </w:rPr>
        <w:t>, leur traitement et</w:t>
      </w:r>
      <w:r w:rsidR="00D84BBE" w:rsidRPr="006762FC">
        <w:rPr>
          <w:sz w:val="24"/>
          <w:szCs w:val="24"/>
        </w:rPr>
        <w:t> la qualité de vie des personnes porteuses de ces malformations.</w:t>
      </w:r>
    </w:p>
    <w:p w14:paraId="079A5230" w14:textId="77777777" w:rsidR="006762FC" w:rsidRPr="006762FC" w:rsidRDefault="006762FC" w:rsidP="006762FC">
      <w:pPr>
        <w:spacing w:line="240" w:lineRule="auto"/>
        <w:jc w:val="both"/>
        <w:rPr>
          <w:sz w:val="24"/>
          <w:szCs w:val="24"/>
        </w:rPr>
      </w:pPr>
    </w:p>
    <w:p w14:paraId="6582A704" w14:textId="09C47E9C" w:rsidR="006C2DFD" w:rsidRPr="006762FC" w:rsidRDefault="008B24ED" w:rsidP="006762F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6762FC">
        <w:rPr>
          <w:b/>
          <w:bCs/>
          <w:sz w:val="24"/>
          <w:szCs w:val="24"/>
        </w:rPr>
        <w:t>Critères d’admissibilité des projets</w:t>
      </w:r>
    </w:p>
    <w:p w14:paraId="404CF633" w14:textId="77777777" w:rsidR="006C2DFD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Les projets doivent : </w:t>
      </w:r>
    </w:p>
    <w:p w14:paraId="736E7CAD" w14:textId="0F6A929B" w:rsidR="000833B3" w:rsidRPr="006762FC" w:rsidRDefault="008B24ED" w:rsidP="006762FC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Concerner </w:t>
      </w:r>
      <w:r w:rsidR="006C2DFD" w:rsidRPr="006762FC">
        <w:rPr>
          <w:sz w:val="24"/>
          <w:szCs w:val="24"/>
        </w:rPr>
        <w:t>les patients</w:t>
      </w:r>
      <w:r w:rsidR="004E2081" w:rsidRPr="006762FC">
        <w:rPr>
          <w:sz w:val="24"/>
          <w:szCs w:val="24"/>
        </w:rPr>
        <w:t xml:space="preserve"> </w:t>
      </w:r>
      <w:r w:rsidR="006C2DFD" w:rsidRPr="006762FC">
        <w:rPr>
          <w:sz w:val="24"/>
          <w:szCs w:val="24"/>
        </w:rPr>
        <w:t xml:space="preserve">porteurs de malformations artérioveineuses du </w:t>
      </w:r>
      <w:r w:rsidR="000833B3" w:rsidRPr="006762FC">
        <w:rPr>
          <w:sz w:val="24"/>
          <w:szCs w:val="24"/>
        </w:rPr>
        <w:t>système nerveux central (cerveau ou moelle épinière)</w:t>
      </w:r>
      <w:r w:rsidR="009B68C8" w:rsidRPr="006762FC">
        <w:rPr>
          <w:sz w:val="24"/>
          <w:szCs w:val="24"/>
        </w:rPr>
        <w:t>.</w:t>
      </w:r>
    </w:p>
    <w:p w14:paraId="06A05533" w14:textId="4DA1E59C" w:rsidR="000833B3" w:rsidRPr="006762FC" w:rsidRDefault="008B24ED" w:rsidP="006762FC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Avoir des retombées positives à court ou long terme pour les patients</w:t>
      </w:r>
      <w:r w:rsidR="009B68C8" w:rsidRPr="006762FC">
        <w:rPr>
          <w:sz w:val="24"/>
          <w:szCs w:val="24"/>
        </w:rPr>
        <w:t>.</w:t>
      </w:r>
      <w:r w:rsidRPr="006762FC">
        <w:rPr>
          <w:sz w:val="24"/>
          <w:szCs w:val="24"/>
        </w:rPr>
        <w:t xml:space="preserve"> </w:t>
      </w:r>
    </w:p>
    <w:p w14:paraId="76B6EF6B" w14:textId="047FC398" w:rsidR="000833B3" w:rsidRPr="006762FC" w:rsidRDefault="008B24ED" w:rsidP="006762FC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lastRenderedPageBreak/>
        <w:t xml:space="preserve">Pouvoir utiliser le financement alloué dans le cadre du projet retenu sur l’année </w:t>
      </w:r>
      <w:r w:rsidR="00041BAB" w:rsidRPr="006762FC">
        <w:rPr>
          <w:sz w:val="24"/>
          <w:szCs w:val="24"/>
        </w:rPr>
        <w:t>2025</w:t>
      </w:r>
      <w:r w:rsidR="005D2716" w:rsidRPr="006762FC">
        <w:rPr>
          <w:sz w:val="24"/>
          <w:szCs w:val="24"/>
        </w:rPr>
        <w:t>-202</w:t>
      </w:r>
      <w:r w:rsidR="00041BAB" w:rsidRPr="006762FC">
        <w:rPr>
          <w:sz w:val="24"/>
          <w:szCs w:val="24"/>
        </w:rPr>
        <w:t>6</w:t>
      </w:r>
      <w:r w:rsidR="009B68C8" w:rsidRPr="006762FC">
        <w:rPr>
          <w:sz w:val="24"/>
          <w:szCs w:val="24"/>
        </w:rPr>
        <w:t>.</w:t>
      </w:r>
      <w:r w:rsidRPr="006762FC">
        <w:rPr>
          <w:sz w:val="24"/>
          <w:szCs w:val="24"/>
        </w:rPr>
        <w:t xml:space="preserve"> </w:t>
      </w:r>
    </w:p>
    <w:p w14:paraId="77AE604F" w14:textId="0EA4DC12" w:rsidR="00065D81" w:rsidRPr="006762FC" w:rsidRDefault="00065D81" w:rsidP="006762FC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Durée de réalisation des projets : 1 à 2 ans maximum.</w:t>
      </w:r>
    </w:p>
    <w:p w14:paraId="723FA18D" w14:textId="44A93F64" w:rsidR="004E2081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Les porteurs de projets d</w:t>
      </w:r>
      <w:r w:rsidR="00065D81" w:rsidRPr="006762FC">
        <w:rPr>
          <w:sz w:val="24"/>
          <w:szCs w:val="24"/>
        </w:rPr>
        <w:t>evront c</w:t>
      </w:r>
      <w:r w:rsidRPr="006762FC">
        <w:rPr>
          <w:sz w:val="24"/>
          <w:szCs w:val="24"/>
        </w:rPr>
        <w:t>ommuniquer sur le projet de recherche financé lors de</w:t>
      </w:r>
      <w:r w:rsidR="000833B3" w:rsidRPr="006762FC">
        <w:rPr>
          <w:sz w:val="24"/>
          <w:szCs w:val="24"/>
        </w:rPr>
        <w:t>s</w:t>
      </w:r>
      <w:r w:rsidRPr="006762FC">
        <w:rPr>
          <w:sz w:val="24"/>
          <w:szCs w:val="24"/>
        </w:rPr>
        <w:t xml:space="preserve"> év</w:t>
      </w:r>
      <w:r w:rsidR="00173E06" w:rsidRPr="006762FC">
        <w:rPr>
          <w:sz w:val="24"/>
          <w:szCs w:val="24"/>
        </w:rPr>
        <w:t>é</w:t>
      </w:r>
      <w:r w:rsidRPr="006762FC">
        <w:rPr>
          <w:sz w:val="24"/>
          <w:szCs w:val="24"/>
        </w:rPr>
        <w:t>nements</w:t>
      </w:r>
      <w:r w:rsidR="000833B3" w:rsidRPr="006762FC">
        <w:rPr>
          <w:sz w:val="24"/>
          <w:szCs w:val="24"/>
        </w:rPr>
        <w:t xml:space="preserve"> organisés par l</w:t>
      </w:r>
      <w:r w:rsidR="007C6A11" w:rsidRPr="006762FC">
        <w:rPr>
          <w:sz w:val="24"/>
          <w:szCs w:val="24"/>
        </w:rPr>
        <w:t>’association Neuro</w:t>
      </w:r>
      <w:r w:rsidR="00D84BBE" w:rsidRPr="006762FC">
        <w:rPr>
          <w:sz w:val="24"/>
          <w:szCs w:val="24"/>
        </w:rPr>
        <w:t xml:space="preserve"> </w:t>
      </w:r>
      <w:r w:rsidR="007C6A11" w:rsidRPr="006762FC">
        <w:rPr>
          <w:sz w:val="24"/>
          <w:szCs w:val="24"/>
        </w:rPr>
        <w:t>MAV France et</w:t>
      </w:r>
      <w:r w:rsidR="008556C4" w:rsidRPr="006762FC">
        <w:rPr>
          <w:sz w:val="24"/>
          <w:szCs w:val="24"/>
        </w:rPr>
        <w:t xml:space="preserve"> le</w:t>
      </w:r>
      <w:r w:rsidR="000833B3" w:rsidRPr="006762FC">
        <w:rPr>
          <w:sz w:val="24"/>
          <w:szCs w:val="24"/>
        </w:rPr>
        <w:t xml:space="preserve"> réseau AVANCE</w:t>
      </w:r>
      <w:r w:rsidR="00065D81" w:rsidRPr="006762FC">
        <w:rPr>
          <w:sz w:val="24"/>
          <w:szCs w:val="24"/>
        </w:rPr>
        <w:t>.</w:t>
      </w:r>
    </w:p>
    <w:p w14:paraId="1A23245F" w14:textId="77777777" w:rsidR="001A7465" w:rsidRPr="006762FC" w:rsidRDefault="001A7465" w:rsidP="006762FC">
      <w:pPr>
        <w:spacing w:line="240" w:lineRule="auto"/>
        <w:jc w:val="both"/>
        <w:rPr>
          <w:sz w:val="24"/>
          <w:szCs w:val="24"/>
        </w:rPr>
      </w:pPr>
    </w:p>
    <w:p w14:paraId="2279F36C" w14:textId="77777777" w:rsidR="00D62B83" w:rsidRPr="006762FC" w:rsidRDefault="008B24ED" w:rsidP="006762F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6762FC">
        <w:rPr>
          <w:b/>
          <w:bCs/>
          <w:sz w:val="24"/>
          <w:szCs w:val="24"/>
        </w:rPr>
        <w:t xml:space="preserve">Modalités de candidature </w:t>
      </w:r>
    </w:p>
    <w:p w14:paraId="0EAA11FC" w14:textId="63849E18" w:rsidR="00002D86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Un même centre de référence</w:t>
      </w:r>
      <w:r w:rsidR="007C6A11" w:rsidRPr="006762FC">
        <w:rPr>
          <w:sz w:val="24"/>
          <w:szCs w:val="24"/>
        </w:rPr>
        <w:t xml:space="preserve"> (CRMR)</w:t>
      </w:r>
      <w:r w:rsidRPr="006762FC">
        <w:rPr>
          <w:sz w:val="24"/>
          <w:szCs w:val="24"/>
        </w:rPr>
        <w:t>, de compétence</w:t>
      </w:r>
      <w:r w:rsidR="007C6A11" w:rsidRPr="006762FC">
        <w:rPr>
          <w:sz w:val="24"/>
          <w:szCs w:val="24"/>
        </w:rPr>
        <w:t xml:space="preserve"> (CCMR)</w:t>
      </w:r>
      <w:r w:rsidRPr="006762FC">
        <w:rPr>
          <w:sz w:val="24"/>
          <w:szCs w:val="24"/>
        </w:rPr>
        <w:t xml:space="preserve"> </w:t>
      </w:r>
      <w:r w:rsidR="00D62B83" w:rsidRPr="006762FC">
        <w:rPr>
          <w:sz w:val="24"/>
          <w:szCs w:val="24"/>
        </w:rPr>
        <w:t xml:space="preserve">ou laboratoire </w:t>
      </w:r>
      <w:r w:rsidRPr="006762FC">
        <w:rPr>
          <w:sz w:val="24"/>
          <w:szCs w:val="24"/>
        </w:rPr>
        <w:t xml:space="preserve">ne pourra proposer qu'un seul projet dans le cadre de cet appel. Les porteurs de projet devront remplir le dossier joint à ce règlement décrivant les objectifs </w:t>
      </w:r>
      <w:r w:rsidR="00002D86" w:rsidRPr="006762FC">
        <w:rPr>
          <w:sz w:val="24"/>
          <w:szCs w:val="24"/>
        </w:rPr>
        <w:t>et</w:t>
      </w:r>
      <w:r w:rsidRPr="006762FC">
        <w:rPr>
          <w:sz w:val="24"/>
          <w:szCs w:val="24"/>
        </w:rPr>
        <w:t xml:space="preserve"> les moyens nécessaires </w:t>
      </w:r>
      <w:r w:rsidR="00002D86" w:rsidRPr="006762FC">
        <w:rPr>
          <w:sz w:val="24"/>
          <w:szCs w:val="24"/>
        </w:rPr>
        <w:t>à la mise en œuvre du projet, un</w:t>
      </w:r>
      <w:r w:rsidRPr="006762FC">
        <w:rPr>
          <w:sz w:val="24"/>
          <w:szCs w:val="24"/>
        </w:rPr>
        <w:t xml:space="preserve"> calendrier prévisionnel et proposer des indicateurs de réalisation et de résultat du projet. </w:t>
      </w:r>
    </w:p>
    <w:p w14:paraId="6E07F33F" w14:textId="2FD302FC" w:rsidR="005D36E4" w:rsidRPr="006762FC" w:rsidRDefault="008B24ED" w:rsidP="006762FC">
      <w:pPr>
        <w:spacing w:line="240" w:lineRule="auto"/>
        <w:jc w:val="both"/>
        <w:rPr>
          <w:rStyle w:val="Lienhypertexte"/>
          <w:rFonts w:ascii="Calibri" w:hAnsi="Calibri" w:cs="Calibri"/>
          <w:sz w:val="24"/>
          <w:szCs w:val="24"/>
          <w:shd w:val="clear" w:color="auto" w:fill="FFFFFF"/>
        </w:rPr>
      </w:pPr>
      <w:r w:rsidRPr="006762FC">
        <w:rPr>
          <w:sz w:val="24"/>
          <w:szCs w:val="24"/>
        </w:rPr>
        <w:t xml:space="preserve">Les dossiers devront être envoyés par mail avant le </w:t>
      </w:r>
      <w:r w:rsidR="00803FB9" w:rsidRPr="006762FC">
        <w:rPr>
          <w:sz w:val="24"/>
          <w:szCs w:val="24"/>
        </w:rPr>
        <w:t>3</w:t>
      </w:r>
      <w:r w:rsidR="006762FC" w:rsidRPr="006762FC">
        <w:rPr>
          <w:sz w:val="24"/>
          <w:szCs w:val="24"/>
        </w:rPr>
        <w:t>1</w:t>
      </w:r>
      <w:r w:rsidR="00803FB9" w:rsidRPr="006762FC">
        <w:rPr>
          <w:sz w:val="24"/>
          <w:szCs w:val="24"/>
        </w:rPr>
        <w:t xml:space="preserve"> </w:t>
      </w:r>
      <w:r w:rsidR="006762FC" w:rsidRPr="006762FC">
        <w:rPr>
          <w:sz w:val="24"/>
          <w:szCs w:val="24"/>
        </w:rPr>
        <w:t>mai</w:t>
      </w:r>
      <w:r w:rsidR="00DE52AE" w:rsidRPr="006762FC">
        <w:rPr>
          <w:sz w:val="24"/>
          <w:szCs w:val="24"/>
        </w:rPr>
        <w:t xml:space="preserve"> </w:t>
      </w:r>
      <w:r w:rsidR="003C2B34" w:rsidRPr="006762FC">
        <w:rPr>
          <w:sz w:val="24"/>
          <w:szCs w:val="24"/>
        </w:rPr>
        <w:t xml:space="preserve">2025 </w:t>
      </w:r>
      <w:r w:rsidRPr="006762FC">
        <w:rPr>
          <w:sz w:val="24"/>
          <w:szCs w:val="24"/>
        </w:rPr>
        <w:t xml:space="preserve">à </w:t>
      </w:r>
      <w:r w:rsidR="005D36E4" w:rsidRPr="006762FC">
        <w:rPr>
          <w:sz w:val="24"/>
          <w:szCs w:val="24"/>
        </w:rPr>
        <w:t>minuit</w:t>
      </w:r>
      <w:r w:rsidRPr="006762FC">
        <w:rPr>
          <w:sz w:val="24"/>
          <w:szCs w:val="24"/>
        </w:rPr>
        <w:t xml:space="preserve"> à l’adresse mail </w:t>
      </w:r>
      <w:proofErr w:type="gramStart"/>
      <w:r w:rsidRPr="006762FC">
        <w:rPr>
          <w:sz w:val="24"/>
          <w:szCs w:val="24"/>
        </w:rPr>
        <w:t>suivante:</w:t>
      </w:r>
      <w:proofErr w:type="gramEnd"/>
      <w:r w:rsidRPr="006762FC">
        <w:rPr>
          <w:sz w:val="24"/>
          <w:szCs w:val="24"/>
        </w:rPr>
        <w:t xml:space="preserve"> </w:t>
      </w:r>
      <w:hyperlink r:id="rId6" w:history="1">
        <w:r w:rsidR="005D36E4" w:rsidRPr="006762FC">
          <w:rPr>
            <w:rStyle w:val="Lienhypertexte"/>
            <w:rFonts w:ascii="Calibri" w:hAnsi="Calibri" w:cs="Calibri"/>
            <w:sz w:val="24"/>
            <w:szCs w:val="24"/>
            <w:shd w:val="clear" w:color="auto" w:fill="FFFFFF"/>
          </w:rPr>
          <w:t>presidente@neuro-mav-france.org</w:t>
        </w:r>
      </w:hyperlink>
    </w:p>
    <w:p w14:paraId="272C1DA9" w14:textId="77777777" w:rsidR="002B1F67" w:rsidRPr="006762FC" w:rsidRDefault="002B1F67" w:rsidP="006762FC">
      <w:pPr>
        <w:spacing w:line="240" w:lineRule="auto"/>
        <w:jc w:val="both"/>
        <w:rPr>
          <w:rStyle w:val="Lienhypertexte"/>
          <w:rFonts w:ascii="Calibri" w:hAnsi="Calibri" w:cs="Calibri"/>
          <w:sz w:val="24"/>
          <w:szCs w:val="24"/>
          <w:shd w:val="clear" w:color="auto" w:fill="FFFFFF"/>
        </w:rPr>
      </w:pPr>
    </w:p>
    <w:p w14:paraId="0F2A484A" w14:textId="77777777" w:rsidR="005D36E4" w:rsidRPr="006762FC" w:rsidRDefault="008B24ED" w:rsidP="006762F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6762FC">
        <w:rPr>
          <w:b/>
          <w:bCs/>
          <w:sz w:val="24"/>
          <w:szCs w:val="24"/>
        </w:rPr>
        <w:t xml:space="preserve">Sélection des projets </w:t>
      </w:r>
    </w:p>
    <w:p w14:paraId="5EB301D7" w14:textId="3FF2D8A4" w:rsidR="008F1437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L’appel à projet</w:t>
      </w:r>
      <w:r w:rsidR="007C6A11" w:rsidRPr="006762FC">
        <w:rPr>
          <w:sz w:val="24"/>
          <w:szCs w:val="24"/>
        </w:rPr>
        <w:t>s</w:t>
      </w:r>
      <w:r w:rsidRPr="006762FC">
        <w:rPr>
          <w:sz w:val="24"/>
          <w:szCs w:val="24"/>
        </w:rPr>
        <w:t xml:space="preserve"> sera clos le </w:t>
      </w:r>
      <w:r w:rsidR="00DE52AE" w:rsidRPr="006762FC">
        <w:rPr>
          <w:sz w:val="24"/>
          <w:szCs w:val="24"/>
        </w:rPr>
        <w:t>3</w:t>
      </w:r>
      <w:r w:rsidR="006762FC" w:rsidRPr="006762FC">
        <w:rPr>
          <w:sz w:val="24"/>
          <w:szCs w:val="24"/>
        </w:rPr>
        <w:t>1</w:t>
      </w:r>
      <w:r w:rsidR="00DE52AE" w:rsidRPr="006762FC">
        <w:rPr>
          <w:sz w:val="24"/>
          <w:szCs w:val="24"/>
        </w:rPr>
        <w:t xml:space="preserve"> </w:t>
      </w:r>
      <w:r w:rsidR="006762FC" w:rsidRPr="006762FC">
        <w:rPr>
          <w:sz w:val="24"/>
          <w:szCs w:val="24"/>
        </w:rPr>
        <w:t>mai</w:t>
      </w:r>
      <w:r w:rsidR="003C2B34" w:rsidRPr="006762FC">
        <w:rPr>
          <w:sz w:val="24"/>
          <w:szCs w:val="24"/>
        </w:rPr>
        <w:t xml:space="preserve"> 2025</w:t>
      </w:r>
      <w:r w:rsidRPr="006762FC">
        <w:rPr>
          <w:sz w:val="24"/>
          <w:szCs w:val="24"/>
        </w:rPr>
        <w:t xml:space="preserve"> à </w:t>
      </w:r>
      <w:r w:rsidR="008F1437" w:rsidRPr="006762FC">
        <w:rPr>
          <w:sz w:val="24"/>
          <w:szCs w:val="24"/>
        </w:rPr>
        <w:t>minuit</w:t>
      </w:r>
      <w:r w:rsidRPr="006762FC">
        <w:rPr>
          <w:sz w:val="24"/>
          <w:szCs w:val="24"/>
        </w:rPr>
        <w:t xml:space="preserve">. Les dossiers reçus feront l’objet d’un examen attentif et d’un accusé de réception. Aucun dossier incomplet ou reçu après la date </w:t>
      </w:r>
      <w:r w:rsidR="008F1437" w:rsidRPr="006762FC">
        <w:rPr>
          <w:sz w:val="24"/>
          <w:szCs w:val="24"/>
        </w:rPr>
        <w:t xml:space="preserve">limite </w:t>
      </w:r>
      <w:r w:rsidRPr="006762FC">
        <w:rPr>
          <w:sz w:val="24"/>
          <w:szCs w:val="24"/>
        </w:rPr>
        <w:t xml:space="preserve">ne sera examiné. Le comité </w:t>
      </w:r>
      <w:r w:rsidR="008F1437" w:rsidRPr="006762FC">
        <w:rPr>
          <w:sz w:val="24"/>
          <w:szCs w:val="24"/>
        </w:rPr>
        <w:t xml:space="preserve">d’évaluation (composé du </w:t>
      </w:r>
      <w:r w:rsidR="006762FC">
        <w:rPr>
          <w:sz w:val="24"/>
          <w:szCs w:val="24"/>
        </w:rPr>
        <w:t>C</w:t>
      </w:r>
      <w:r w:rsidR="008F1437" w:rsidRPr="006762FC">
        <w:rPr>
          <w:sz w:val="24"/>
          <w:szCs w:val="24"/>
        </w:rPr>
        <w:t>omité scientifique de l’association</w:t>
      </w:r>
      <w:r w:rsidR="006762FC">
        <w:rPr>
          <w:sz w:val="24"/>
          <w:szCs w:val="24"/>
        </w:rPr>
        <w:t> NEURO</w:t>
      </w:r>
      <w:r w:rsidR="008F1437" w:rsidRPr="006762FC">
        <w:rPr>
          <w:sz w:val="24"/>
          <w:szCs w:val="24"/>
        </w:rPr>
        <w:t xml:space="preserve"> MAV France et des membres du </w:t>
      </w:r>
      <w:r w:rsidR="006762FC">
        <w:rPr>
          <w:sz w:val="24"/>
          <w:szCs w:val="24"/>
        </w:rPr>
        <w:t>B</w:t>
      </w:r>
      <w:r w:rsidR="008F1437" w:rsidRPr="006762FC">
        <w:rPr>
          <w:sz w:val="24"/>
          <w:szCs w:val="24"/>
        </w:rPr>
        <w:t>ureau de l’association)</w:t>
      </w:r>
      <w:r w:rsidRPr="006762FC">
        <w:rPr>
          <w:sz w:val="24"/>
          <w:szCs w:val="24"/>
        </w:rPr>
        <w:t xml:space="preserve"> </w:t>
      </w:r>
      <w:r w:rsidR="002C0D19" w:rsidRPr="006762FC">
        <w:rPr>
          <w:sz w:val="24"/>
          <w:szCs w:val="24"/>
        </w:rPr>
        <w:t>évaluera</w:t>
      </w:r>
      <w:r w:rsidR="008F1437" w:rsidRPr="006762FC">
        <w:rPr>
          <w:sz w:val="24"/>
          <w:szCs w:val="24"/>
        </w:rPr>
        <w:t xml:space="preserve"> les dossiers soumis</w:t>
      </w:r>
      <w:r w:rsidRPr="006762FC">
        <w:rPr>
          <w:sz w:val="24"/>
          <w:szCs w:val="24"/>
        </w:rPr>
        <w:t xml:space="preserve">. </w:t>
      </w:r>
    </w:p>
    <w:p w14:paraId="7B85C1C5" w14:textId="11C86047" w:rsidR="008F1437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La sélection des projets se déroulera en </w:t>
      </w:r>
      <w:r w:rsidR="00286658" w:rsidRPr="006762FC">
        <w:rPr>
          <w:sz w:val="24"/>
          <w:szCs w:val="24"/>
        </w:rPr>
        <w:t>deux</w:t>
      </w:r>
      <w:r w:rsidRPr="006762FC">
        <w:rPr>
          <w:sz w:val="24"/>
          <w:szCs w:val="24"/>
        </w:rPr>
        <w:t xml:space="preserve"> étapes : </w:t>
      </w:r>
    </w:p>
    <w:p w14:paraId="5AA96BC0" w14:textId="38C8CC52" w:rsidR="008F1437" w:rsidRPr="006762FC" w:rsidRDefault="008B24ED" w:rsidP="006762FC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Etape de recevabilité :</w:t>
      </w:r>
      <w:r w:rsidR="00286658" w:rsidRPr="006762FC">
        <w:rPr>
          <w:sz w:val="24"/>
          <w:szCs w:val="24"/>
        </w:rPr>
        <w:t xml:space="preserve"> </w:t>
      </w:r>
      <w:r w:rsidR="002D313D">
        <w:rPr>
          <w:sz w:val="24"/>
          <w:szCs w:val="24"/>
        </w:rPr>
        <w:t xml:space="preserve">les </w:t>
      </w:r>
      <w:r w:rsidRPr="006762FC">
        <w:rPr>
          <w:sz w:val="24"/>
          <w:szCs w:val="24"/>
        </w:rPr>
        <w:t>porteurs de projet ne peuvent pas déposer plus d’un dossier à cet appel à projet.</w:t>
      </w:r>
      <w:r w:rsidR="00A22335" w:rsidRPr="006762FC">
        <w:rPr>
          <w:sz w:val="24"/>
          <w:szCs w:val="24"/>
        </w:rPr>
        <w:t xml:space="preserve"> Les dossiers incomplets ou soumis hors délais ne seront pas examinés.</w:t>
      </w:r>
      <w:r w:rsidRPr="006762FC">
        <w:rPr>
          <w:sz w:val="24"/>
          <w:szCs w:val="24"/>
        </w:rPr>
        <w:t xml:space="preserve"> </w:t>
      </w:r>
    </w:p>
    <w:p w14:paraId="37BACC28" w14:textId="5544CFBA" w:rsidR="00D82921" w:rsidRPr="006762FC" w:rsidRDefault="008B24ED" w:rsidP="006762FC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6762FC">
        <w:rPr>
          <w:sz w:val="24"/>
          <w:szCs w:val="24"/>
        </w:rPr>
        <w:t>Etape</w:t>
      </w:r>
      <w:proofErr w:type="spellEnd"/>
      <w:r w:rsidRPr="006762FC">
        <w:rPr>
          <w:sz w:val="24"/>
          <w:szCs w:val="24"/>
        </w:rPr>
        <w:t xml:space="preserve"> d’éligibilité : </w:t>
      </w:r>
      <w:r w:rsidR="002D313D">
        <w:rPr>
          <w:sz w:val="24"/>
          <w:szCs w:val="24"/>
        </w:rPr>
        <w:t>l</w:t>
      </w:r>
      <w:r w:rsidRPr="006762FC">
        <w:rPr>
          <w:sz w:val="24"/>
          <w:szCs w:val="24"/>
        </w:rPr>
        <w:t xml:space="preserve">es projets doivent concerner les </w:t>
      </w:r>
      <w:r w:rsidR="00DA0F3F" w:rsidRPr="006762FC">
        <w:rPr>
          <w:sz w:val="24"/>
          <w:szCs w:val="24"/>
        </w:rPr>
        <w:t>patients porteurs de malformations artérioveineuses cérébrales ou médullaires</w:t>
      </w:r>
      <w:r w:rsidRPr="006762FC">
        <w:rPr>
          <w:sz w:val="24"/>
          <w:szCs w:val="24"/>
        </w:rPr>
        <w:t>.</w:t>
      </w:r>
      <w:r w:rsidR="00DA0F3F" w:rsidRPr="006762FC">
        <w:rPr>
          <w:sz w:val="24"/>
          <w:szCs w:val="24"/>
        </w:rPr>
        <w:t xml:space="preserve"> </w:t>
      </w:r>
    </w:p>
    <w:p w14:paraId="0E2220C9" w14:textId="76241F73" w:rsidR="00EE7623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Les critères d’évaluation pris en considération seront : </w:t>
      </w:r>
    </w:p>
    <w:p w14:paraId="639033B9" w14:textId="102D96E3" w:rsidR="00140999" w:rsidRPr="006762FC" w:rsidRDefault="00140999" w:rsidP="006762FC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La plus-value pour les patients atteints d’une des pathologies</w:t>
      </w:r>
    </w:p>
    <w:p w14:paraId="781BD267" w14:textId="40022EBF" w:rsidR="00140999" w:rsidRPr="006762FC" w:rsidRDefault="00140999" w:rsidP="006762FC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L’adéquation du projet aux objectifs de l’association Neuro MAV France, en termes de retombées médicales potentielles</w:t>
      </w:r>
    </w:p>
    <w:p w14:paraId="0E5D85E0" w14:textId="2EC83CA4" w:rsidR="00400B6C" w:rsidRPr="006762FC" w:rsidRDefault="00400B6C" w:rsidP="006762FC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La qualité scientifique du projet</w:t>
      </w:r>
    </w:p>
    <w:p w14:paraId="67F3D720" w14:textId="77777777" w:rsidR="00C261DF" w:rsidRPr="006762FC" w:rsidRDefault="00C261DF" w:rsidP="006762FC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</w:t>
      </w:r>
      <w:r w:rsidR="008B24ED" w:rsidRPr="006762FC">
        <w:rPr>
          <w:sz w:val="24"/>
          <w:szCs w:val="24"/>
        </w:rPr>
        <w:t>a faisabilité : garantir l’adéquation entre les moyens techniques et financiers, les compétences, le calendrier et la réalisation du projet</w:t>
      </w:r>
    </w:p>
    <w:p w14:paraId="44EF9A22" w14:textId="52CB1E98" w:rsidR="00C261DF" w:rsidRPr="006762FC" w:rsidRDefault="008B24ED" w:rsidP="006762FC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La temporalité : prévoir une mise en œuvre du projet dans un délai raisonnable</w:t>
      </w:r>
      <w:r w:rsidR="0022487C" w:rsidRPr="006762FC">
        <w:rPr>
          <w:sz w:val="24"/>
          <w:szCs w:val="24"/>
        </w:rPr>
        <w:t xml:space="preserve"> (12</w:t>
      </w:r>
      <w:r w:rsidR="00400B6C" w:rsidRPr="006762FC">
        <w:rPr>
          <w:sz w:val="24"/>
          <w:szCs w:val="24"/>
        </w:rPr>
        <w:t xml:space="preserve"> mois</w:t>
      </w:r>
      <w:r w:rsidR="0022487C" w:rsidRPr="006762FC">
        <w:rPr>
          <w:sz w:val="24"/>
          <w:szCs w:val="24"/>
        </w:rPr>
        <w:t>)</w:t>
      </w:r>
      <w:r w:rsidR="008A143A" w:rsidRPr="006762FC">
        <w:rPr>
          <w:sz w:val="24"/>
          <w:szCs w:val="24"/>
        </w:rPr>
        <w:t xml:space="preserve"> et </w:t>
      </w:r>
      <w:r w:rsidR="007C6A11" w:rsidRPr="006762FC">
        <w:rPr>
          <w:sz w:val="24"/>
          <w:szCs w:val="24"/>
        </w:rPr>
        <w:t xml:space="preserve">pour </w:t>
      </w:r>
      <w:r w:rsidR="009E6AC6" w:rsidRPr="006762FC">
        <w:rPr>
          <w:sz w:val="24"/>
          <w:szCs w:val="24"/>
        </w:rPr>
        <w:t>une durée totale de 2 ans</w:t>
      </w:r>
      <w:r w:rsidR="007C6A11" w:rsidRPr="006762FC">
        <w:rPr>
          <w:sz w:val="24"/>
          <w:szCs w:val="24"/>
        </w:rPr>
        <w:t xml:space="preserve"> à partir de son acceptation par le jury</w:t>
      </w:r>
    </w:p>
    <w:p w14:paraId="31F9F7C6" w14:textId="7379CA19" w:rsidR="00C261DF" w:rsidRPr="006762FC" w:rsidRDefault="008B24ED" w:rsidP="006762FC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L’évaluation : prévoir des indicateurs de réalisation et de résultats clairs et atteignables</w:t>
      </w:r>
    </w:p>
    <w:p w14:paraId="7D252495" w14:textId="2F774B7E" w:rsidR="002D313D" w:rsidRPr="00E00E4E" w:rsidRDefault="002B27A3" w:rsidP="002D313D">
      <w:pPr>
        <w:pStyle w:val="Paragraphedeliste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L’existence de données préliminaires qui étayent les hypothèses et la faisabilité du projet</w:t>
      </w:r>
    </w:p>
    <w:p w14:paraId="6E9A705E" w14:textId="77777777" w:rsidR="00377082" w:rsidRPr="006762FC" w:rsidRDefault="008B24ED" w:rsidP="006762F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6762FC">
        <w:rPr>
          <w:b/>
          <w:bCs/>
          <w:sz w:val="24"/>
          <w:szCs w:val="24"/>
        </w:rPr>
        <w:t xml:space="preserve">Financement </w:t>
      </w:r>
    </w:p>
    <w:p w14:paraId="70447FFA" w14:textId="77777777" w:rsidR="006762FC" w:rsidRDefault="00377082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Le budget</w:t>
      </w:r>
      <w:r w:rsidR="008B24ED" w:rsidRPr="006762FC">
        <w:rPr>
          <w:sz w:val="24"/>
          <w:szCs w:val="24"/>
        </w:rPr>
        <w:t xml:space="preserve"> global de cet appel à projet</w:t>
      </w:r>
      <w:r w:rsidR="007C6A11" w:rsidRPr="006762FC">
        <w:rPr>
          <w:sz w:val="24"/>
          <w:szCs w:val="24"/>
        </w:rPr>
        <w:t>s</w:t>
      </w:r>
      <w:r w:rsidR="008B24ED" w:rsidRPr="006762FC">
        <w:rPr>
          <w:sz w:val="24"/>
          <w:szCs w:val="24"/>
        </w:rPr>
        <w:t xml:space="preserve"> est de </w:t>
      </w:r>
      <w:r w:rsidR="00536736" w:rsidRPr="006762FC">
        <w:rPr>
          <w:sz w:val="24"/>
          <w:szCs w:val="24"/>
        </w:rPr>
        <w:t>2</w:t>
      </w:r>
      <w:r w:rsidR="00DE52AE" w:rsidRPr="006762FC">
        <w:rPr>
          <w:sz w:val="24"/>
          <w:szCs w:val="24"/>
        </w:rPr>
        <w:t>5</w:t>
      </w:r>
      <w:r w:rsidR="00536736" w:rsidRPr="006762FC">
        <w:rPr>
          <w:sz w:val="24"/>
          <w:szCs w:val="24"/>
        </w:rPr>
        <w:t> 000</w:t>
      </w:r>
      <w:r w:rsidR="006762FC">
        <w:rPr>
          <w:sz w:val="24"/>
          <w:szCs w:val="24"/>
        </w:rPr>
        <w:t xml:space="preserve"> </w:t>
      </w:r>
      <w:r w:rsidR="008B24ED" w:rsidRPr="006762FC">
        <w:rPr>
          <w:sz w:val="24"/>
          <w:szCs w:val="24"/>
        </w:rPr>
        <w:t xml:space="preserve">€. </w:t>
      </w:r>
      <w:r w:rsidR="006762FC">
        <w:rPr>
          <w:sz w:val="24"/>
          <w:szCs w:val="24"/>
        </w:rPr>
        <w:t>L</w:t>
      </w:r>
      <w:r w:rsidR="008B24ED" w:rsidRPr="006762FC">
        <w:rPr>
          <w:sz w:val="24"/>
          <w:szCs w:val="24"/>
        </w:rPr>
        <w:t>e</w:t>
      </w:r>
      <w:r w:rsidRPr="006762FC">
        <w:rPr>
          <w:sz w:val="24"/>
          <w:szCs w:val="24"/>
        </w:rPr>
        <w:t>(s)</w:t>
      </w:r>
      <w:r w:rsidR="008B24ED" w:rsidRPr="006762FC">
        <w:rPr>
          <w:sz w:val="24"/>
          <w:szCs w:val="24"/>
        </w:rPr>
        <w:t xml:space="preserve"> projet</w:t>
      </w:r>
      <w:r w:rsidRPr="006762FC">
        <w:rPr>
          <w:sz w:val="24"/>
          <w:szCs w:val="24"/>
        </w:rPr>
        <w:t>(</w:t>
      </w:r>
      <w:r w:rsidR="008B24ED" w:rsidRPr="006762FC">
        <w:rPr>
          <w:sz w:val="24"/>
          <w:szCs w:val="24"/>
        </w:rPr>
        <w:t>s</w:t>
      </w:r>
      <w:r w:rsidRPr="006762FC">
        <w:rPr>
          <w:sz w:val="24"/>
          <w:szCs w:val="24"/>
        </w:rPr>
        <w:t>)</w:t>
      </w:r>
      <w:r w:rsidR="008B24ED" w:rsidRPr="006762FC">
        <w:rPr>
          <w:sz w:val="24"/>
          <w:szCs w:val="24"/>
        </w:rPr>
        <w:t xml:space="preserve"> lauréat</w:t>
      </w:r>
      <w:r w:rsidRPr="006762FC">
        <w:rPr>
          <w:sz w:val="24"/>
          <w:szCs w:val="24"/>
        </w:rPr>
        <w:t>(</w:t>
      </w:r>
      <w:r w:rsidR="008B24ED" w:rsidRPr="006762FC">
        <w:rPr>
          <w:sz w:val="24"/>
          <w:szCs w:val="24"/>
        </w:rPr>
        <w:t>s</w:t>
      </w:r>
      <w:r w:rsidRPr="006762FC">
        <w:rPr>
          <w:sz w:val="24"/>
          <w:szCs w:val="24"/>
        </w:rPr>
        <w:t>)</w:t>
      </w:r>
      <w:r w:rsidR="008B24ED" w:rsidRPr="006762FC">
        <w:rPr>
          <w:sz w:val="24"/>
          <w:szCs w:val="24"/>
        </w:rPr>
        <w:t xml:space="preserve"> bénéficier</w:t>
      </w:r>
      <w:r w:rsidRPr="006762FC">
        <w:rPr>
          <w:sz w:val="24"/>
          <w:szCs w:val="24"/>
        </w:rPr>
        <w:t>a(</w:t>
      </w:r>
      <w:r w:rsidR="008B24ED" w:rsidRPr="006762FC">
        <w:rPr>
          <w:sz w:val="24"/>
          <w:szCs w:val="24"/>
        </w:rPr>
        <w:t>ont</w:t>
      </w:r>
      <w:r w:rsidRPr="006762FC">
        <w:rPr>
          <w:sz w:val="24"/>
          <w:szCs w:val="24"/>
        </w:rPr>
        <w:t>)</w:t>
      </w:r>
      <w:r w:rsidR="008B24ED" w:rsidRPr="006762FC">
        <w:rPr>
          <w:sz w:val="24"/>
          <w:szCs w:val="24"/>
        </w:rPr>
        <w:t xml:space="preserve"> d’une enveloppe de </w:t>
      </w:r>
      <w:r w:rsidR="00536736" w:rsidRPr="006762FC">
        <w:rPr>
          <w:sz w:val="24"/>
          <w:szCs w:val="24"/>
        </w:rPr>
        <w:t>2</w:t>
      </w:r>
      <w:r w:rsidR="00DE52AE" w:rsidRPr="006762FC">
        <w:rPr>
          <w:sz w:val="24"/>
          <w:szCs w:val="24"/>
        </w:rPr>
        <w:t>5</w:t>
      </w:r>
      <w:r w:rsidR="00536736" w:rsidRPr="006762FC">
        <w:rPr>
          <w:sz w:val="24"/>
          <w:szCs w:val="24"/>
        </w:rPr>
        <w:t xml:space="preserve"> 000 </w:t>
      </w:r>
      <w:r w:rsidR="008B24ED" w:rsidRPr="006762FC">
        <w:rPr>
          <w:sz w:val="24"/>
          <w:szCs w:val="24"/>
        </w:rPr>
        <w:t xml:space="preserve">€ maximum. </w:t>
      </w:r>
    </w:p>
    <w:p w14:paraId="6546ED62" w14:textId="0E5D2694" w:rsidR="00377082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>Son soutien se fera par convention signée avec un établissement ou association de recherch</w:t>
      </w:r>
      <w:r w:rsidR="00377082" w:rsidRPr="006762FC">
        <w:rPr>
          <w:sz w:val="24"/>
          <w:szCs w:val="24"/>
        </w:rPr>
        <w:t>e</w:t>
      </w:r>
      <w:r w:rsidRPr="006762FC">
        <w:rPr>
          <w:sz w:val="24"/>
          <w:szCs w:val="24"/>
        </w:rPr>
        <w:t>.</w:t>
      </w:r>
      <w:r w:rsidR="006762FC">
        <w:rPr>
          <w:sz w:val="24"/>
          <w:szCs w:val="24"/>
        </w:rPr>
        <w:t xml:space="preserve"> </w:t>
      </w:r>
      <w:r w:rsidRPr="006762FC">
        <w:rPr>
          <w:sz w:val="24"/>
          <w:szCs w:val="24"/>
        </w:rPr>
        <w:t>Dans le cadre de cette convention la structure devra s’engager à utiliser le financement exclusivement dans le cadre du projet et adresser un bilan de l’utilisation de la contribution.</w:t>
      </w:r>
    </w:p>
    <w:p w14:paraId="1472B8A6" w14:textId="77777777" w:rsidR="002D313D" w:rsidRPr="006762FC" w:rsidRDefault="002D313D" w:rsidP="006762FC">
      <w:pPr>
        <w:spacing w:line="240" w:lineRule="auto"/>
        <w:jc w:val="both"/>
        <w:rPr>
          <w:sz w:val="24"/>
          <w:szCs w:val="24"/>
        </w:rPr>
      </w:pPr>
    </w:p>
    <w:p w14:paraId="43258C4B" w14:textId="01AD2728" w:rsidR="00377082" w:rsidRPr="006762FC" w:rsidRDefault="008B24ED" w:rsidP="006762F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6762FC">
        <w:rPr>
          <w:b/>
          <w:bCs/>
          <w:sz w:val="24"/>
          <w:szCs w:val="24"/>
        </w:rPr>
        <w:t>Suivi de la réalisation du projet</w:t>
      </w:r>
    </w:p>
    <w:p w14:paraId="06552B14" w14:textId="77777777" w:rsid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Pour s’assurer de la bonne réalisation du projet, les promoteurs des projets sélectionnés devront identifier des indicateurs de réalisation et de résultats à atteindre grâce à ce financement. </w:t>
      </w:r>
    </w:p>
    <w:p w14:paraId="4B2752D1" w14:textId="5C53A6A9" w:rsidR="00F966C6" w:rsidRPr="006762FC" w:rsidRDefault="008B24ED" w:rsidP="006762FC">
      <w:pPr>
        <w:spacing w:line="240" w:lineRule="auto"/>
        <w:jc w:val="both"/>
        <w:rPr>
          <w:sz w:val="24"/>
          <w:szCs w:val="24"/>
        </w:rPr>
      </w:pPr>
      <w:r w:rsidRPr="006762FC">
        <w:rPr>
          <w:sz w:val="24"/>
          <w:szCs w:val="24"/>
        </w:rPr>
        <w:t xml:space="preserve">Un an après le début du projet, le promoteur devra informer et justifier auprès </w:t>
      </w:r>
      <w:r w:rsidR="00377082" w:rsidRPr="006762FC">
        <w:rPr>
          <w:sz w:val="24"/>
          <w:szCs w:val="24"/>
        </w:rPr>
        <w:t xml:space="preserve">du </w:t>
      </w:r>
      <w:r w:rsidR="006762FC">
        <w:rPr>
          <w:sz w:val="24"/>
          <w:szCs w:val="24"/>
        </w:rPr>
        <w:t>B</w:t>
      </w:r>
      <w:r w:rsidR="00377082" w:rsidRPr="006762FC">
        <w:rPr>
          <w:sz w:val="24"/>
          <w:szCs w:val="24"/>
        </w:rPr>
        <w:t>ureau</w:t>
      </w:r>
      <w:r w:rsidR="006762FC">
        <w:rPr>
          <w:sz w:val="24"/>
          <w:szCs w:val="24"/>
        </w:rPr>
        <w:t xml:space="preserve"> de</w:t>
      </w:r>
      <w:r w:rsidR="00377082" w:rsidRPr="006762FC">
        <w:rPr>
          <w:sz w:val="24"/>
          <w:szCs w:val="24"/>
        </w:rPr>
        <w:t xml:space="preserve"> l’association </w:t>
      </w:r>
      <w:r w:rsidR="006762FC">
        <w:rPr>
          <w:sz w:val="24"/>
          <w:szCs w:val="24"/>
        </w:rPr>
        <w:t>NEURO</w:t>
      </w:r>
      <w:r w:rsidR="00D84BBE" w:rsidRPr="006762FC">
        <w:rPr>
          <w:sz w:val="24"/>
          <w:szCs w:val="24"/>
        </w:rPr>
        <w:t xml:space="preserve"> </w:t>
      </w:r>
      <w:r w:rsidR="00377082" w:rsidRPr="006762FC">
        <w:rPr>
          <w:sz w:val="24"/>
          <w:szCs w:val="24"/>
        </w:rPr>
        <w:t xml:space="preserve">MAV France et de son </w:t>
      </w:r>
      <w:r w:rsidR="006762FC">
        <w:rPr>
          <w:sz w:val="24"/>
          <w:szCs w:val="24"/>
        </w:rPr>
        <w:t>C</w:t>
      </w:r>
      <w:r w:rsidR="00286658" w:rsidRPr="006762FC">
        <w:rPr>
          <w:sz w:val="24"/>
          <w:szCs w:val="24"/>
        </w:rPr>
        <w:t>onseil scientifique, l</w:t>
      </w:r>
      <w:r w:rsidRPr="006762FC">
        <w:rPr>
          <w:sz w:val="24"/>
          <w:szCs w:val="24"/>
        </w:rPr>
        <w:t>’atteinte des indicateurs fixés lors de la soumission du projet.</w:t>
      </w:r>
    </w:p>
    <w:p w14:paraId="000C6213" w14:textId="77777777" w:rsidR="00E00E4E" w:rsidRDefault="00E00E4E" w:rsidP="006762FC">
      <w:pPr>
        <w:jc w:val="both"/>
        <w:rPr>
          <w:sz w:val="24"/>
          <w:szCs w:val="24"/>
        </w:rPr>
      </w:pPr>
    </w:p>
    <w:p w14:paraId="1DE7736B" w14:textId="77777777" w:rsidR="00E00E4E" w:rsidRPr="00221F41" w:rsidRDefault="00E00E4E" w:rsidP="00E00E4E">
      <w:pPr>
        <w:ind w:left="360"/>
        <w:rPr>
          <w:rFonts w:ascii="Calibri" w:hAnsi="Calibri"/>
          <w:sz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0E4E" w14:paraId="7FF2CE31" w14:textId="77777777" w:rsidTr="00B41B73">
        <w:tc>
          <w:tcPr>
            <w:tcW w:w="4531" w:type="dxa"/>
          </w:tcPr>
          <w:p w14:paraId="53439029" w14:textId="77777777" w:rsidR="00E00E4E" w:rsidRDefault="00E00E4E" w:rsidP="00B41B7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14:ligatures w14:val="standardContextual"/>
              </w:rPr>
              <w:drawing>
                <wp:inline distT="0" distB="0" distL="0" distR="0" wp14:anchorId="5F3AD9B2" wp14:editId="6FBE5821">
                  <wp:extent cx="1103103" cy="1658680"/>
                  <wp:effectExtent l="0" t="0" r="1905" b="5080"/>
                  <wp:docPr id="1147634874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34874" name="Graphique 1147634874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67" cy="166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1FE48E3" w14:textId="77777777" w:rsidR="00E00E4E" w:rsidRDefault="00E00E4E" w:rsidP="00B41B73">
            <w:pPr>
              <w:jc w:val="center"/>
              <w:rPr>
                <w:b/>
                <w:bCs/>
              </w:rPr>
            </w:pPr>
          </w:p>
          <w:p w14:paraId="733F1E0E" w14:textId="77777777" w:rsidR="00E00E4E" w:rsidRDefault="00E00E4E" w:rsidP="00B41B73">
            <w:pPr>
              <w:jc w:val="center"/>
              <w:rPr>
                <w:b/>
                <w:bCs/>
              </w:rPr>
            </w:pPr>
          </w:p>
          <w:p w14:paraId="5770E703" w14:textId="77777777" w:rsidR="00E00E4E" w:rsidRDefault="00E00E4E" w:rsidP="00B41B73">
            <w:pPr>
              <w:jc w:val="center"/>
              <w:rPr>
                <w:b/>
                <w:bCs/>
              </w:rPr>
            </w:pPr>
          </w:p>
          <w:p w14:paraId="215B3589" w14:textId="77777777" w:rsidR="00E00E4E" w:rsidRPr="002C1697" w:rsidRDefault="00E00E4E" w:rsidP="00B41B73">
            <w:pPr>
              <w:jc w:val="center"/>
              <w:rPr>
                <w:b/>
                <w:bCs/>
              </w:rPr>
            </w:pPr>
            <w:r w:rsidRPr="002C1697">
              <w:rPr>
                <w:b/>
                <w:bCs/>
              </w:rPr>
              <w:t>NEURO MAV France</w:t>
            </w:r>
          </w:p>
          <w:p w14:paraId="43217B45" w14:textId="77777777" w:rsidR="00E00E4E" w:rsidRPr="002C1697" w:rsidRDefault="00E00E4E" w:rsidP="00B41B73">
            <w:pPr>
              <w:jc w:val="center"/>
              <w:rPr>
                <w:b/>
                <w:bCs/>
              </w:rPr>
            </w:pPr>
            <w:r w:rsidRPr="002C1697">
              <w:rPr>
                <w:b/>
                <w:bCs/>
              </w:rPr>
              <w:t>115 Rue Saint Dominique</w:t>
            </w:r>
          </w:p>
          <w:p w14:paraId="7682F03D" w14:textId="77777777" w:rsidR="00E00E4E" w:rsidRDefault="00E00E4E" w:rsidP="00B41B73">
            <w:pPr>
              <w:jc w:val="center"/>
              <w:rPr>
                <w:b/>
                <w:bCs/>
              </w:rPr>
            </w:pPr>
            <w:r w:rsidRPr="002C1697">
              <w:rPr>
                <w:b/>
                <w:bCs/>
              </w:rPr>
              <w:t>75007 PARIS</w:t>
            </w:r>
          </w:p>
          <w:p w14:paraId="18473CC3" w14:textId="77777777" w:rsidR="00E00E4E" w:rsidRPr="00FA049F" w:rsidRDefault="00E00E4E" w:rsidP="00B41B73">
            <w:pPr>
              <w:jc w:val="center"/>
              <w:rPr>
                <w:b/>
                <w:bCs/>
                <w:sz w:val="24"/>
              </w:rPr>
            </w:pPr>
            <w:hyperlink r:id="rId9" w:history="1">
              <w:r w:rsidRPr="00FA049F">
                <w:rPr>
                  <w:rStyle w:val="Lienhypertexte"/>
                  <w:b/>
                  <w:bCs/>
                </w:rPr>
                <w:t>www.neuro-mav-france.org</w:t>
              </w:r>
            </w:hyperlink>
          </w:p>
        </w:tc>
      </w:tr>
    </w:tbl>
    <w:p w14:paraId="20DD2756" w14:textId="77777777" w:rsidR="00E00E4E" w:rsidRPr="002C1697" w:rsidRDefault="00E00E4E" w:rsidP="00E00E4E">
      <w:pPr>
        <w:rPr>
          <w:rFonts w:ascii="Calibri" w:hAnsi="Calibri"/>
          <w:b/>
          <w:bCs/>
          <w:sz w:val="24"/>
        </w:rPr>
      </w:pPr>
    </w:p>
    <w:p w14:paraId="0ADB6612" w14:textId="77777777" w:rsidR="00E00E4E" w:rsidRPr="006762FC" w:rsidRDefault="00E00E4E" w:rsidP="006762FC">
      <w:pPr>
        <w:jc w:val="both"/>
        <w:rPr>
          <w:sz w:val="24"/>
          <w:szCs w:val="24"/>
        </w:rPr>
      </w:pPr>
    </w:p>
    <w:sectPr w:rsidR="00E00E4E" w:rsidRPr="0067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14BA5"/>
    <w:multiLevelType w:val="hybridMultilevel"/>
    <w:tmpl w:val="8E640966"/>
    <w:lvl w:ilvl="0" w:tplc="1D4C3B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3124"/>
    <w:multiLevelType w:val="hybridMultilevel"/>
    <w:tmpl w:val="9C643AAC"/>
    <w:lvl w:ilvl="0" w:tplc="2414908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7587141">
    <w:abstractNumId w:val="1"/>
  </w:num>
  <w:num w:numId="2" w16cid:durableId="193169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E1"/>
    <w:rsid w:val="00002D86"/>
    <w:rsid w:val="00041BAB"/>
    <w:rsid w:val="00065D81"/>
    <w:rsid w:val="000833B3"/>
    <w:rsid w:val="000948BE"/>
    <w:rsid w:val="000B4F4A"/>
    <w:rsid w:val="00105FB0"/>
    <w:rsid w:val="00140999"/>
    <w:rsid w:val="00173E06"/>
    <w:rsid w:val="001A68F6"/>
    <w:rsid w:val="001A7465"/>
    <w:rsid w:val="001D67EB"/>
    <w:rsid w:val="00213F2D"/>
    <w:rsid w:val="0022487C"/>
    <w:rsid w:val="00286658"/>
    <w:rsid w:val="002B1F67"/>
    <w:rsid w:val="002B27A3"/>
    <w:rsid w:val="002C0D19"/>
    <w:rsid w:val="002D313D"/>
    <w:rsid w:val="00301F2F"/>
    <w:rsid w:val="00317999"/>
    <w:rsid w:val="00377082"/>
    <w:rsid w:val="00377E56"/>
    <w:rsid w:val="003C2B34"/>
    <w:rsid w:val="00400B6C"/>
    <w:rsid w:val="0049111A"/>
    <w:rsid w:val="004B5B50"/>
    <w:rsid w:val="004D361F"/>
    <w:rsid w:val="004E2081"/>
    <w:rsid w:val="005048F0"/>
    <w:rsid w:val="0051158C"/>
    <w:rsid w:val="00536736"/>
    <w:rsid w:val="005C3BAD"/>
    <w:rsid w:val="005D2716"/>
    <w:rsid w:val="005D36E4"/>
    <w:rsid w:val="00654F74"/>
    <w:rsid w:val="00660552"/>
    <w:rsid w:val="006762FC"/>
    <w:rsid w:val="006C2DFD"/>
    <w:rsid w:val="006E4C28"/>
    <w:rsid w:val="007C6A11"/>
    <w:rsid w:val="007F6D8A"/>
    <w:rsid w:val="00803FB9"/>
    <w:rsid w:val="008073D5"/>
    <w:rsid w:val="00832D21"/>
    <w:rsid w:val="008556C4"/>
    <w:rsid w:val="00890207"/>
    <w:rsid w:val="008A143A"/>
    <w:rsid w:val="008B24ED"/>
    <w:rsid w:val="008F1437"/>
    <w:rsid w:val="00911E81"/>
    <w:rsid w:val="009208F5"/>
    <w:rsid w:val="009B68C8"/>
    <w:rsid w:val="009D77F8"/>
    <w:rsid w:val="009E6AC6"/>
    <w:rsid w:val="00A065F7"/>
    <w:rsid w:val="00A22335"/>
    <w:rsid w:val="00A423D8"/>
    <w:rsid w:val="00A60776"/>
    <w:rsid w:val="00AF1F23"/>
    <w:rsid w:val="00B60FB6"/>
    <w:rsid w:val="00B87AEC"/>
    <w:rsid w:val="00C261DF"/>
    <w:rsid w:val="00C65F97"/>
    <w:rsid w:val="00CC335E"/>
    <w:rsid w:val="00D62B83"/>
    <w:rsid w:val="00D82921"/>
    <w:rsid w:val="00D84BBE"/>
    <w:rsid w:val="00DA01E1"/>
    <w:rsid w:val="00DA0F3F"/>
    <w:rsid w:val="00DE52AE"/>
    <w:rsid w:val="00DF42C0"/>
    <w:rsid w:val="00E00E4E"/>
    <w:rsid w:val="00E544FD"/>
    <w:rsid w:val="00EE7623"/>
    <w:rsid w:val="00F612C7"/>
    <w:rsid w:val="00F966C6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72A"/>
  <w15:chartTrackingRefBased/>
  <w15:docId w15:val="{C3A187FA-1993-49A5-86AC-45B9A4D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D6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7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36E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27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7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716"/>
    <w:rPr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7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716"/>
    <w:rPr>
      <w:b/>
      <w:bCs/>
      <w:kern w:val="0"/>
      <w:sz w:val="20"/>
      <w:szCs w:val="20"/>
      <w:lang w:val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11A"/>
    <w:rPr>
      <w:rFonts w:ascii="Segoe UI" w:hAnsi="Segoe UI" w:cs="Segoe UI"/>
      <w:kern w:val="0"/>
      <w:sz w:val="18"/>
      <w:szCs w:val="18"/>
      <w:lang w:val="fr-FR"/>
      <w14:ligatures w14:val="none"/>
    </w:rPr>
  </w:style>
  <w:style w:type="table" w:styleId="Grilledetableauclaire">
    <w:name w:val="Grid Table Light"/>
    <w:basedOn w:val="TableauNormal"/>
    <w:uiPriority w:val="40"/>
    <w:rsid w:val="00E00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e@neuro-mav-franc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uro-mav-franc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Smajda</dc:creator>
  <cp:keywords/>
  <dc:description/>
  <cp:lastModifiedBy>Séverine Martin</cp:lastModifiedBy>
  <cp:revision>6</cp:revision>
  <dcterms:created xsi:type="dcterms:W3CDTF">2025-03-17T14:57:00Z</dcterms:created>
  <dcterms:modified xsi:type="dcterms:W3CDTF">2025-03-17T15:09:00Z</dcterms:modified>
</cp:coreProperties>
</file>